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pPr>
      <w:r>
        <w:rPr>
          <w:rFonts w:ascii="Arial" w:hAnsi="Arial" w:eastAsia="Arial"/>
          <w:b/>
          <w:color w:val="1D2433"/>
          <w:sz w:val="44"/>
        </w:rPr>
        <w:t>DAVID BREWER</w:t>
      </w:r>
    </w:p>
    <w:p>
      <w:pPr>
        <w:spacing w:before="0" w:after="20"/>
      </w:pPr>
      <w:r>
        <w:rPr>
          <w:rFonts w:ascii="Arial" w:hAnsi="Arial" w:eastAsia="Arial"/>
          <w:b/>
          <w:color w:val="2457D6"/>
          <w:sz w:val="21"/>
        </w:rPr>
        <w:t>LIFECYCLE MARKETING &amp; MARKETING TECHNOLOGY</w:t>
      </w:r>
    </w:p>
    <w:p>
      <w:pPr>
        <w:spacing w:before="0" w:after="60"/>
      </w:pPr>
      <w:r>
        <w:rPr>
          <w:rFonts w:ascii="Arial" w:hAnsi="Arial" w:eastAsia="Arial"/>
          <w:b/>
          <w:color w:val="5C6370"/>
          <w:sz w:val="16"/>
        </w:rPr>
        <w:t>MEASUREMENT INTEGRITY  |  DATA AND IDENTITY  |  EXPERIMENTATION  |  GOVERNED EXECUTION</w:t>
      </w:r>
    </w:p>
    <w:p>
      <w:pPr>
        <w:spacing w:before="0" w:after="80"/>
        <w:jc w:val="left"/>
      </w:pPr>
      <w:r>
        <w:rPr>
          <w:rFonts w:ascii="Arial" w:hAnsi="Arial" w:eastAsia="Arial"/>
          <w:color w:val="5C6370"/>
          <w:sz w:val="17"/>
        </w:rPr>
        <w:t>Missoula, Montana  |  davidalbertbrewer@gmail.com  |  U.S.-remote preferred; selective Montana opportunities</w:t>
      </w:r>
    </w:p>
    <w:p>
      <w:pPr>
        <w:pStyle w:val="Heading1"/>
        <w:pBdr>
          <w:bottom w:val="single" w:sz="6" w:space="3" w:color="DDE2EA"/>
        </w:pBdr>
      </w:pPr>
      <w:r>
        <w:t>PROFILE</w:t>
      </w:r>
    </w:p>
    <w:p>
      <w:pPr>
        <w:spacing w:after="80"/>
      </w:pPr>
      <w:r>
        <w:rPr>
          <w:rFonts w:ascii="Arial" w:hAnsi="Arial" w:eastAsia="Arial"/>
          <w:color w:val="1D2433"/>
          <w:sz w:val="19"/>
        </w:rPr>
        <w:t>Lifecycle marketing and marketing-technology operator with more than 10 years across mortgage, consumer lending, fintech, SaaS, and mobile products. Connects customer strategy, journey implementation, data and identity architecture, experimentation, regulated messaging, QA, and cross-functional execution. Strongest when turning active but fragmented programs into measurable lifecycle systems while preserving attribution, provenance, and uncertainty.</w:t>
      </w:r>
    </w:p>
    <w:p>
      <w:pPr>
        <w:pStyle w:val="Heading1"/>
        <w:pBdr>
          <w:bottom w:val="single" w:sz="6" w:space="3" w:color="DDE2EA"/>
        </w:pBdr>
      </w:pPr>
      <w:r>
        <w:t>CORE CAPABILITIES</w:t>
      </w:r>
    </w:p>
    <w:p>
      <w:pPr>
        <w:spacing w:after="40" w:line="240" w:lineRule="auto"/>
        <w:ind w:left="0"/>
      </w:pPr>
      <w:r>
        <w:rPr>
          <w:rFonts w:ascii="Arial" w:hAnsi="Arial" w:eastAsia="Arial"/>
          <w:b/>
          <w:color w:val="1D2433"/>
          <w:sz w:val="18"/>
        </w:rPr>
        <w:t xml:space="preserve">Lifecycle systems: </w:t>
      </w:r>
      <w:r>
        <w:rPr>
          <w:rFonts w:ascii="Arial" w:hAnsi="Arial" w:eastAsia="Arial"/>
          <w:color w:val="1D2433"/>
          <w:sz w:val="18"/>
        </w:rPr>
        <w:t>Journey strategy, campaigns and Canvases, segmentation, personalization, response handling, and cross-channel coordination.</w:t>
      </w:r>
    </w:p>
    <w:p>
      <w:pPr>
        <w:spacing w:after="40" w:line="240" w:lineRule="auto"/>
        <w:ind w:left="0"/>
      </w:pPr>
      <w:r>
        <w:rPr>
          <w:rFonts w:ascii="Arial" w:hAnsi="Arial" w:eastAsia="Arial"/>
          <w:b/>
          <w:color w:val="1D2433"/>
          <w:sz w:val="18"/>
        </w:rPr>
        <w:t xml:space="preserve">Measurement integrity: </w:t>
      </w:r>
      <w:r>
        <w:rPr>
          <w:rFonts w:ascii="Arial" w:hAnsi="Arial" w:eastAsia="Arial"/>
          <w:color w:val="1D2433"/>
          <w:sz w:val="18"/>
        </w:rPr>
        <w:t>Exposure and assignment QA, control design, practical versus statistical relevance, and observational-versus-causal discipline.</w:t>
      </w:r>
    </w:p>
    <w:p>
      <w:pPr>
        <w:spacing w:after="40" w:line="240" w:lineRule="auto"/>
        <w:ind w:left="0"/>
      </w:pPr>
      <w:r>
        <w:rPr>
          <w:rFonts w:ascii="Arial" w:hAnsi="Arial" w:eastAsia="Arial"/>
          <w:b/>
          <w:color w:val="1D2433"/>
          <w:sz w:val="18"/>
        </w:rPr>
        <w:t xml:space="preserve">Data and operations: </w:t>
      </w:r>
      <w:r>
        <w:rPr>
          <w:rFonts w:ascii="Arial" w:hAnsi="Arial" w:eastAsia="Arial"/>
          <w:color w:val="1D2433"/>
          <w:sz w:val="18"/>
        </w:rPr>
        <w:t>Identity and event architecture, nested data, attribution, QA, monitoring, release governance, and recovery.</w:t>
      </w:r>
    </w:p>
    <w:p>
      <w:pPr>
        <w:spacing w:after="40" w:line="240" w:lineRule="auto"/>
        <w:ind w:left="0"/>
      </w:pPr>
      <w:r>
        <w:rPr>
          <w:rFonts w:ascii="Arial" w:hAnsi="Arial" w:eastAsia="Arial"/>
          <w:b/>
          <w:color w:val="1D2433"/>
          <w:sz w:val="18"/>
        </w:rPr>
        <w:t xml:space="preserve">Accountable AI leverage: </w:t>
      </w:r>
      <w:r>
        <w:rPr>
          <w:rFonts w:ascii="Arial" w:hAnsi="Arial" w:eastAsia="Arial"/>
          <w:color w:val="1D2433"/>
          <w:sz w:val="18"/>
        </w:rPr>
        <w:t>AI-assisted extraction, documentation, and analysis with provenance, human review, and publication controls.</w:t>
      </w:r>
    </w:p>
    <w:p>
      <w:pPr>
        <w:pStyle w:val="Heading1"/>
        <w:pBdr>
          <w:bottom w:val="single" w:sz="6" w:space="3" w:color="DDE2EA"/>
        </w:pBdr>
      </w:pPr>
      <w:r>
        <w:t>PROFESSIONAL EXPERIENCE</w:t>
      </w:r>
    </w:p>
    <w:p>
      <w:pPr>
        <w:pStyle w:val="Heading2"/>
        <w:tabs>
          <w:tab w:pos="10368" w:val="right"/>
        </w:tabs>
      </w:pPr>
      <w:r>
        <w:rPr>
          <w:rFonts w:ascii="Arial" w:hAnsi="Arial" w:eastAsia="Arial"/>
          <w:b/>
          <w:color w:val="1D2433"/>
          <w:sz w:val="20"/>
        </w:rPr>
        <w:t>loanDepot</w:t>
      </w:r>
      <w:r>
        <w:rPr>
          <w:rFonts w:ascii="Arial" w:hAnsi="Arial" w:eastAsia="Arial"/>
          <w:b w:val="0"/>
          <w:color w:val="5C6370"/>
          <w:sz w:val="18"/>
        </w:rPr>
        <w:tab/>
        <w:t>June 2025-Present</w:t>
      </w:r>
    </w:p>
    <w:p>
      <w:pPr>
        <w:pStyle w:val="Heading3"/>
      </w:pPr>
      <w:r>
        <w:rPr>
          <w:rFonts w:ascii="Arial" w:hAnsi="Arial" w:eastAsia="Arial"/>
          <w:b/>
          <w:color w:val="2457D6"/>
          <w:sz w:val="18"/>
        </w:rPr>
        <w:t>Lifecycle Marketing Specialist</w:t>
      </w:r>
    </w:p>
    <w:p>
      <w:pPr>
        <w:numPr>
          <w:ilvl w:val="0"/>
          <w:numId w:val="10"/>
        </w:numPr>
        <w:widowControl/>
        <w:spacing w:after="44" w:line="252" w:lineRule="auto"/>
        <w:ind w:left="540" w:hanging="271"/>
      </w:pPr>
      <w:r>
        <w:rPr>
          <w:rFonts w:ascii="Arial" w:hAnsi="Arial" w:eastAsia="Arial"/>
          <w:color w:val="1D2433"/>
          <w:sz w:val="18"/>
        </w:rPr>
        <w:t>Inherited an active lifecycle program and strengthened its instrumentation, governance, analysis, and operating discipline.</w:t>
      </w:r>
    </w:p>
    <w:p>
      <w:pPr>
        <w:numPr>
          <w:ilvl w:val="0"/>
          <w:numId w:val="10"/>
        </w:numPr>
        <w:widowControl/>
        <w:spacing w:after="44" w:line="252" w:lineRule="auto"/>
        <w:ind w:left="540" w:hanging="271"/>
      </w:pPr>
      <w:r>
        <w:rPr>
          <w:rFonts w:ascii="Arial" w:hAnsi="Arial" w:eastAsia="Arial"/>
          <w:color w:val="1D2433"/>
          <w:sz w:val="18"/>
        </w:rPr>
        <w:t>Led an October lifecycle funnel analysis and translated the results into an email, presentation, and calculation workbook.</w:t>
      </w:r>
    </w:p>
    <w:p>
      <w:pPr>
        <w:numPr>
          <w:ilvl w:val="0"/>
          <w:numId w:val="10"/>
        </w:numPr>
        <w:widowControl/>
        <w:spacing w:after="44" w:line="252" w:lineRule="auto"/>
        <w:ind w:left="540" w:hanging="271"/>
      </w:pPr>
      <w:r>
        <w:rPr>
          <w:rFonts w:ascii="Arial" w:hAnsi="Arial" w:eastAsia="Arial"/>
          <w:color w:val="1D2433"/>
          <w:sz w:val="18"/>
        </w:rPr>
        <w:t>Led a layered identity investigation that separated profile, event, context, and persistence evidence before recommending a production change.</w:t>
      </w:r>
    </w:p>
    <w:p>
      <w:pPr>
        <w:numPr>
          <w:ilvl w:val="0"/>
          <w:numId w:val="10"/>
        </w:numPr>
        <w:widowControl/>
        <w:spacing w:after="44" w:line="252" w:lineRule="auto"/>
        <w:ind w:left="540" w:hanging="271"/>
      </w:pPr>
      <w:r>
        <w:rPr>
          <w:rFonts w:ascii="Arial" w:hAnsi="Arial" w:eastAsia="Arial"/>
          <w:color w:val="1D2433"/>
          <w:sz w:val="18"/>
        </w:rPr>
        <w:t>Designed a fail-closed synchronization workflow with explicit execution and readback gates.</w:t>
      </w:r>
    </w:p>
    <w:p>
      <w:pPr>
        <w:numPr>
          <w:ilvl w:val="0"/>
          <w:numId w:val="10"/>
        </w:numPr>
        <w:widowControl/>
        <w:spacing w:after="44" w:line="252" w:lineRule="auto"/>
        <w:ind w:left="540" w:hanging="271"/>
      </w:pPr>
      <w:r>
        <w:rPr>
          <w:rFonts w:ascii="Arial" w:hAnsi="Arial" w:eastAsia="Arial"/>
          <w:color w:val="1D2433"/>
          <w:sz w:val="18"/>
        </w:rPr>
        <w:t>Separated documented guidance and managerial decisions from formal Compliance or Legal approval.</w:t>
      </w:r>
    </w:p>
    <w:p>
      <w:pPr>
        <w:pStyle w:val="Heading2"/>
        <w:tabs>
          <w:tab w:pos="10368" w:val="right"/>
        </w:tabs>
      </w:pPr>
      <w:r>
        <w:rPr>
          <w:rFonts w:ascii="Arial" w:hAnsi="Arial" w:eastAsia="Arial"/>
          <w:b/>
          <w:color w:val="1D2433"/>
          <w:sz w:val="20"/>
        </w:rPr>
        <w:t>Island Mountain Development Group (IMDG)</w:t>
      </w:r>
      <w:r>
        <w:rPr>
          <w:rFonts w:ascii="Arial" w:hAnsi="Arial" w:eastAsia="Arial"/>
          <w:b w:val="0"/>
          <w:color w:val="5C6370"/>
          <w:sz w:val="18"/>
        </w:rPr>
        <w:tab/>
        <w:t>2020-2024</w:t>
      </w:r>
    </w:p>
    <w:p>
      <w:pPr>
        <w:pStyle w:val="Heading3"/>
      </w:pPr>
      <w:r>
        <w:rPr>
          <w:rFonts w:ascii="Arial" w:hAnsi="Arial" w:eastAsia="Arial"/>
          <w:b/>
          <w:color w:val="2457D6"/>
          <w:sz w:val="18"/>
        </w:rPr>
        <w:t>Director of Marketing</w:t>
      </w:r>
    </w:p>
    <w:p>
      <w:pPr>
        <w:numPr>
          <w:ilvl w:val="0"/>
          <w:numId w:val="10"/>
        </w:numPr>
        <w:widowControl/>
        <w:spacing w:after="44" w:line="252" w:lineRule="auto"/>
        <w:ind w:left="540" w:hanging="271"/>
      </w:pPr>
      <w:r>
        <w:rPr>
          <w:rFonts w:ascii="Arial" w:hAnsi="Arial" w:eastAsia="Arial"/>
          <w:color w:val="1D2433"/>
          <w:sz w:val="18"/>
        </w:rPr>
        <w:t>Directed lifecycle and growth marketing for a multi-brand consumer-lending and fintech portfolio across email, SMS, push, in-browser, direct mail, web, paid, affiliate, call-center, and partner channels.</w:t>
      </w:r>
    </w:p>
    <w:p>
      <w:pPr>
        <w:numPr>
          <w:ilvl w:val="0"/>
          <w:numId w:val="10"/>
        </w:numPr>
        <w:widowControl/>
        <w:spacing w:after="44" w:line="252" w:lineRule="auto"/>
        <w:ind w:left="540" w:hanging="271"/>
      </w:pPr>
      <w:r>
        <w:rPr>
          <w:rFonts w:ascii="Arial" w:hAnsi="Arial" w:eastAsia="Arial"/>
          <w:color w:val="1D2433"/>
          <w:sz w:val="18"/>
        </w:rPr>
        <w:t>Built and scaled the marketing team from 1 to 7, establishing direct-report functions across lifecycle development, analytics, creative, web development, risk, and technical project management.</w:t>
      </w:r>
    </w:p>
    <w:p>
      <w:pPr>
        <w:numPr>
          <w:ilvl w:val="0"/>
          <w:numId w:val="10"/>
        </w:numPr>
        <w:widowControl/>
        <w:spacing w:after="44" w:line="252" w:lineRule="auto"/>
        <w:ind w:left="540" w:hanging="271"/>
      </w:pPr>
      <w:r>
        <w:rPr>
          <w:rFonts w:ascii="Arial" w:hAnsi="Arial" w:eastAsia="Arial"/>
          <w:color w:val="1D2433"/>
          <w:sz w:val="18"/>
        </w:rPr>
        <w:t>Used Iterable and Segment CDP to build personalized onboarding, re-engagement, loyalty, and cross-sell journeys; established KPI and experimentation frameworks covering conversion, pull-through, retention, CAC, LTV, and ROI.</w:t>
      </w:r>
    </w:p>
    <w:p>
      <w:pPr>
        <w:numPr>
          <w:ilvl w:val="0"/>
          <w:numId w:val="10"/>
        </w:numPr>
        <w:widowControl/>
        <w:spacing w:after="44" w:line="252" w:lineRule="auto"/>
        <w:ind w:left="540" w:hanging="271"/>
      </w:pPr>
      <w:r>
        <w:rPr>
          <w:rFonts w:ascii="Arial" w:hAnsi="Arial" w:eastAsia="Arial"/>
          <w:color w:val="1D2433"/>
          <w:sz w:val="18"/>
        </w:rPr>
        <w:t>Drove 300% customer acquisition growth while reducing acquisition costs 36%; improved landing-page conversion 200% and average customer lifetime value 40% through testing and segmentation.</w:t>
      </w:r>
    </w:p>
    <w:p>
      <w:pPr>
        <w:spacing w:before="0" w:after="0"/>
      </w:pPr>
      <w:r>
        <w:br w:type="page"/>
      </w:r>
    </w:p>
    <w:p>
      <w:pPr>
        <w:pStyle w:val="Heading1"/>
        <w:pBdr>
          <w:bottom w:val="single" w:sz="6" w:space="3" w:color="DDE2EA"/>
        </w:pBdr>
      </w:pPr>
      <w:r>
        <w:t>PROFESSIONAL EXPERIENCE, CONTINUED</w:t>
      </w:r>
    </w:p>
    <w:p>
      <w:pPr>
        <w:pStyle w:val="Heading2"/>
        <w:tabs>
          <w:tab w:pos="10368" w:val="right"/>
        </w:tabs>
      </w:pPr>
      <w:r>
        <w:rPr>
          <w:rFonts w:ascii="Arial" w:hAnsi="Arial" w:eastAsia="Arial"/>
          <w:b/>
          <w:color w:val="1D2433"/>
          <w:sz w:val="20"/>
        </w:rPr>
        <w:t>Edulog / Education Logistics</w:t>
      </w:r>
      <w:r>
        <w:rPr>
          <w:rFonts w:ascii="Arial" w:hAnsi="Arial" w:eastAsia="Arial"/>
          <w:b w:val="0"/>
          <w:color w:val="5C6370"/>
          <w:sz w:val="18"/>
        </w:rPr>
        <w:tab/>
        <w:t>2018-2020</w:t>
      </w:r>
    </w:p>
    <w:p>
      <w:pPr>
        <w:pStyle w:val="Heading3"/>
      </w:pPr>
      <w:r>
        <w:rPr>
          <w:rFonts w:ascii="Arial" w:hAnsi="Arial" w:eastAsia="Arial"/>
          <w:b/>
          <w:color w:val="2457D6"/>
          <w:sz w:val="18"/>
        </w:rPr>
        <w:t>Director of GPS Hardware</w:t>
      </w:r>
    </w:p>
    <w:p>
      <w:pPr>
        <w:numPr>
          <w:ilvl w:val="0"/>
          <w:numId w:val="10"/>
        </w:numPr>
        <w:widowControl/>
        <w:spacing w:after="44" w:line="252" w:lineRule="auto"/>
        <w:ind w:left="540" w:hanging="271"/>
      </w:pPr>
      <w:r>
        <w:rPr>
          <w:rFonts w:ascii="Arial" w:hAnsi="Arial" w:eastAsia="Arial"/>
          <w:color w:val="1D2433"/>
          <w:sz w:val="18"/>
        </w:rPr>
        <w:t>Directed cross-functional software, hardware, installation, and vendor teams to launch GPS, SaaS, and mobile products for more than 300 school districts.</w:t>
      </w:r>
    </w:p>
    <w:p>
      <w:pPr>
        <w:numPr>
          <w:ilvl w:val="0"/>
          <w:numId w:val="10"/>
        </w:numPr>
        <w:widowControl/>
        <w:spacing w:after="44" w:line="252" w:lineRule="auto"/>
        <w:ind w:left="540" w:hanging="271"/>
      </w:pPr>
      <w:r>
        <w:rPr>
          <w:rFonts w:ascii="Arial" w:hAnsi="Arial" w:eastAsia="Arial"/>
          <w:color w:val="1D2433"/>
          <w:sz w:val="18"/>
        </w:rPr>
        <w:t>Led deployment of more than 10,000 hardware installations, coordinating field teams, Operations, Product, Engineering, Customer Success, and external vendors.</w:t>
      </w:r>
    </w:p>
    <w:p>
      <w:pPr>
        <w:pStyle w:val="Heading2"/>
        <w:tabs>
          <w:tab w:pos="10368" w:val="right"/>
        </w:tabs>
      </w:pPr>
      <w:r>
        <w:rPr>
          <w:rFonts w:ascii="Arial" w:hAnsi="Arial" w:eastAsia="Arial"/>
          <w:b/>
          <w:color w:val="1D2433"/>
          <w:sz w:val="20"/>
        </w:rPr>
        <w:t>JACL, Inc.</w:t>
      </w:r>
      <w:r>
        <w:rPr>
          <w:rFonts w:ascii="Arial" w:hAnsi="Arial" w:eastAsia="Arial"/>
          <w:b w:val="0"/>
          <w:color w:val="5C6370"/>
          <w:sz w:val="18"/>
        </w:rPr>
        <w:tab/>
        <w:t>2014-2016</w:t>
      </w:r>
    </w:p>
    <w:p>
      <w:pPr>
        <w:pStyle w:val="Heading3"/>
      </w:pPr>
      <w:r>
        <w:rPr>
          <w:rFonts w:ascii="Arial" w:hAnsi="Arial" w:eastAsia="Arial"/>
          <w:b/>
          <w:color w:val="2457D6"/>
          <w:sz w:val="18"/>
        </w:rPr>
        <w:t>Director of Marketing</w:t>
      </w:r>
    </w:p>
    <w:p>
      <w:pPr>
        <w:numPr>
          <w:ilvl w:val="0"/>
          <w:numId w:val="10"/>
        </w:numPr>
        <w:widowControl/>
        <w:spacing w:after="44" w:line="252" w:lineRule="auto"/>
        <w:ind w:left="540" w:hanging="271"/>
      </w:pPr>
      <w:r>
        <w:rPr>
          <w:rFonts w:ascii="Arial" w:hAnsi="Arial" w:eastAsia="Arial"/>
          <w:color w:val="1D2433"/>
          <w:sz w:val="18"/>
        </w:rPr>
        <w:t>Planned acquisition and lifecycle programs for mortgage, real estate, and consumer-lending products across web, CRM, email, SMS, and call-center channels.</w:t>
      </w:r>
    </w:p>
    <w:p>
      <w:pPr>
        <w:numPr>
          <w:ilvl w:val="0"/>
          <w:numId w:val="10"/>
        </w:numPr>
        <w:widowControl/>
        <w:spacing w:after="44" w:line="252" w:lineRule="auto"/>
        <w:ind w:left="540" w:hanging="271"/>
      </w:pPr>
      <w:r>
        <w:rPr>
          <w:rFonts w:ascii="Arial" w:hAnsi="Arial" w:eastAsia="Arial"/>
          <w:color w:val="1D2433"/>
          <w:sz w:val="18"/>
        </w:rPr>
        <w:t>Built data-driven CRM and triggered messaging workflows, segmentation, HTML email, landing pages, and compliance-reviewed customer communications; improved conversion and retention through personalization, testing, and campaign analytics.</w:t>
      </w:r>
    </w:p>
    <w:p>
      <w:pPr>
        <w:pStyle w:val="Heading1"/>
        <w:pBdr>
          <w:bottom w:val="single" w:sz="6" w:space="3" w:color="DDE2EA"/>
        </w:pBdr>
      </w:pPr>
      <w:r>
        <w:t>SELECTED PORTFOLIO WORK</w:t>
      </w:r>
    </w:p>
    <w:p>
      <w:pPr>
        <w:numPr>
          <w:ilvl w:val="0"/>
          <w:numId w:val="10"/>
        </w:numPr>
        <w:widowControl/>
        <w:spacing w:after="44" w:line="252" w:lineRule="auto"/>
        <w:ind w:left="540" w:hanging="271"/>
      </w:pPr>
      <w:r>
        <w:rPr>
          <w:rFonts w:ascii="Arial" w:hAnsi="Arial" w:eastAsia="Arial"/>
          <w:color w:val="1D2433"/>
          <w:sz w:val="18"/>
        </w:rPr>
        <w:t>Building a Lifecycle Measurement Baseline: Analysis and measurement contribution.</w:t>
      </w:r>
    </w:p>
    <w:p>
      <w:pPr>
        <w:numPr>
          <w:ilvl w:val="0"/>
          <w:numId w:val="10"/>
        </w:numPr>
        <w:widowControl/>
        <w:spacing w:after="44" w:line="252" w:lineRule="auto"/>
        <w:ind w:left="540" w:hanging="271"/>
      </w:pPr>
      <w:r>
        <w:rPr>
          <w:rFonts w:ascii="Arial" w:hAnsi="Arial" w:eastAsia="Arial"/>
          <w:color w:val="1D2433"/>
          <w:sz w:val="18"/>
        </w:rPr>
        <w:t>Rapid Braze and Lifecycle Operating-Model Ramp: Inherited-and-improved operator on an existing SMS and Braze lifecycle program.</w:t>
      </w:r>
    </w:p>
    <w:p>
      <w:pPr>
        <w:numPr>
          <w:ilvl w:val="0"/>
          <w:numId w:val="10"/>
        </w:numPr>
        <w:widowControl/>
        <w:spacing w:after="44" w:line="252" w:lineRule="auto"/>
        <w:ind w:left="540" w:hanging="271"/>
      </w:pPr>
      <w:r>
        <w:rPr>
          <w:rFonts w:ascii="Arial" w:hAnsi="Arial" w:eastAsia="Arial"/>
          <w:color w:val="1D2433"/>
          <w:sz w:val="18"/>
        </w:rPr>
        <w:t>Experimentation and Control Integrity: Experimentation and control-design contribution.</w:t>
      </w:r>
    </w:p>
    <w:p>
      <w:pPr>
        <w:numPr>
          <w:ilvl w:val="0"/>
          <w:numId w:val="10"/>
        </w:numPr>
        <w:widowControl/>
        <w:spacing w:after="44" w:line="252" w:lineRule="auto"/>
        <w:ind w:left="540" w:hanging="271"/>
      </w:pPr>
      <w:r>
        <w:rPr>
          <w:rFonts w:ascii="Arial" w:hAnsi="Arial" w:eastAsia="Arial"/>
          <w:color w:val="1D2433"/>
          <w:sz w:val="18"/>
        </w:rPr>
        <w:t>Recovering from a Cross-System Messaging Dependency: Participated in diagnosis, validation, and recovery coordination.</w:t>
      </w:r>
    </w:p>
    <w:p>
      <w:pPr>
        <w:numPr>
          <w:ilvl w:val="0"/>
          <w:numId w:val="10"/>
        </w:numPr>
        <w:widowControl/>
        <w:spacing w:after="44" w:line="252" w:lineRule="auto"/>
        <w:ind w:left="540" w:hanging="271"/>
      </w:pPr>
      <w:r>
        <w:rPr>
          <w:rFonts w:ascii="Arial" w:hAnsi="Arial" w:eastAsia="Arial"/>
          <w:color w:val="1D2433"/>
          <w:sz w:val="18"/>
        </w:rPr>
        <w:t>Evidence-First AI Operator Workflows: Workflow designer and operator.</w:t>
      </w:r>
    </w:p>
    <w:p>
      <w:pPr>
        <w:pStyle w:val="Heading1"/>
        <w:pBdr>
          <w:bottom w:val="single" w:sz="6" w:space="3" w:color="DDE2EA"/>
        </w:pBdr>
      </w:pPr>
      <w:r>
        <w:t>EDUCATION</w:t>
      </w:r>
    </w:p>
    <w:p>
      <w:pPr>
        <w:spacing w:after="20"/>
      </w:pPr>
      <w:r>
        <w:rPr>
          <w:rFonts w:ascii="Arial" w:hAnsi="Arial" w:eastAsia="Arial"/>
          <w:b/>
          <w:color w:val="1D2433"/>
          <w:sz w:val="18"/>
        </w:rPr>
        <w:t>University of Montana | Missoula, Montana</w:t>
      </w:r>
    </w:p>
    <w:p>
      <w:pPr>
        <w:spacing w:after="20"/>
        <w:ind w:left="259"/>
      </w:pPr>
      <w:r>
        <w:rPr>
          <w:rFonts w:ascii="Arial" w:hAnsi="Arial" w:eastAsia="Arial"/>
          <w:color w:val="1D2433"/>
          <w:sz w:val="18"/>
        </w:rPr>
        <w:t>Master of Business Administration (MBA), 2018</w:t>
      </w:r>
    </w:p>
    <w:p>
      <w:pPr>
        <w:spacing w:after="20"/>
        <w:ind w:left="259"/>
      </w:pPr>
      <w:r>
        <w:rPr>
          <w:rFonts w:ascii="Arial" w:hAnsi="Arial" w:eastAsia="Arial"/>
          <w:color w:val="1D2433"/>
          <w:sz w:val="18"/>
        </w:rPr>
        <w:t>Master of Science in Business Analytics (MSBA), 2017</w:t>
      </w:r>
    </w:p>
    <w:p>
      <w:pPr>
        <w:spacing w:after="20"/>
        <w:ind w:left="259"/>
      </w:pPr>
      <w:r>
        <w:rPr>
          <w:rFonts w:ascii="Arial" w:hAnsi="Arial" w:eastAsia="Arial"/>
          <w:color w:val="1D2433"/>
          <w:sz w:val="18"/>
        </w:rPr>
        <w:t>Bachelor of Science in Management Information Systems (MIS), Big Data Certificate, 2015</w:t>
      </w:r>
    </w:p>
    <w:p>
      <w:pPr>
        <w:pStyle w:val="Heading1"/>
        <w:pBdr>
          <w:bottom w:val="single" w:sz="6" w:space="3" w:color="DDE2EA"/>
        </w:pBdr>
      </w:pPr>
      <w:r>
        <w:t>TECHNOLOGY</w:t>
      </w:r>
    </w:p>
    <w:p>
      <w:pPr>
        <w:spacing w:after="40"/>
      </w:pPr>
      <w:r>
        <w:rPr>
          <w:rFonts w:ascii="Arial" w:hAnsi="Arial" w:eastAsia="Arial"/>
          <w:color w:val="1D2433"/>
          <w:sz w:val="18"/>
        </w:rPr>
        <w:t>Braze | Iterable | Segment CDP | Salesforce Marketing Cloud | HubSpot | Twilio | Databricks | SQL | Tableau | Looker | Power BI | Python | R | HTML/CSS | Jira | Confluence</w:t>
      </w:r>
    </w:p>
    <w:p>
      <w:pPr>
        <w:pStyle w:val="Heading1"/>
        <w:pBdr>
          <w:bottom w:val="single" w:sz="6" w:space="3" w:color="DDE2EA"/>
        </w:pBdr>
      </w:pPr>
      <w:r>
        <w:t>OPERATING APPROACH</w:t>
      </w:r>
    </w:p>
    <w:p>
      <w:pPr>
        <w:spacing w:after="0"/>
      </w:pPr>
      <w:r>
        <w:rPr>
          <w:rFonts w:ascii="Arial" w:hAnsi="Arial" w:eastAsia="Arial"/>
          <w:color w:val="1D2433"/>
          <w:sz w:val="18"/>
        </w:rPr>
        <w:t>Instrument before scaling | Separate design, configuration, QA, approval, launch, monitoring, and analysis | Preserve provenance and uncertainty | Use AI for leverage with human review and accountable decisions</w:t>
      </w:r>
    </w:p>
    <w:sectPr>
      <w:footerReference w:type="default" r:id="rId9"/>
      <w:pgSz w:w="12240" w:h="15840"/>
      <w:pgMar w:top="893" w:right="936" w:bottom="893" w:left="936"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368" w:val="right"/>
      </w:tabs>
      <w:spacing w:before="0" w:after="0"/>
    </w:pPr>
    <w:r>
      <w:rPr>
        <w:rFonts w:ascii="Arial" w:hAnsi="Arial" w:eastAsia="Arial"/>
        <w:color w:val="5C6370"/>
        <w:sz w:val="16"/>
      </w:rPr>
      <w:t>David Brewer | Lifecycle Portfolio</w:t>
    </w:r>
    <w:r>
      <w:rPr>
        <w:rFonts w:ascii="Arial" w:hAnsi="Arial" w:eastAsia="Arial"/>
        <w:color w:val="5C6370"/>
        <w:sz w:val="16"/>
      </w:rPr>
      <w:tab/>
      <w:t xml:space="preserve">Page </w:t>
    </w:r>
    <w:r>
      <w:rPr>
        <w:rFonts w:ascii="Arial" w:hAnsi="Arial" w:eastAsia="Arial"/>
        <w:color w:val="5C6370"/>
        <w:sz w:val="16"/>
      </w:rPr>
      <w:fldChar w:fldCharType="begin"/>
      <w:instrText xml:space="preserve"> PAGE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270"/>
        </w:tabs>
        <w:ind w:left="540" w:hanging="270"/>
        <w:spacing w:after="44" w:line="252" w:lineRule="auto"/>
      </w:pPr>
      <w:rPr>
        <w:rFonts w:ascii="Arial" w:hAnsi="Arial"/>
        <w:color w:val="2457D6"/>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60" w:line="252" w:lineRule="auto"/>
    </w:pPr>
    <w:rPr>
      <w:rFonts w:ascii="Arial" w:hAnsi="Arial"/>
      <w:color w:val="1D2433"/>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line="240" w:lineRule="auto"/>
      <w:outlineLvl w:val="0"/>
    </w:pPr>
    <w:rPr>
      <w:rFonts w:asciiTheme="majorHAnsi" w:eastAsiaTheme="majorEastAsia" w:hAnsiTheme="majorHAnsi" w:cstheme="majorBidi" w:ascii="Arial" w:hAnsi="Arial"/>
      <w:b/>
      <w:bCs/>
      <w:caps/>
      <w:color w:val="2457D6"/>
      <w:sz w:val="18"/>
      <w:szCs w:val="28"/>
    </w:rPr>
  </w:style>
  <w:style w:type="paragraph" w:styleId="Heading2">
    <w:name w:val="heading 2"/>
    <w:basedOn w:val="Normal"/>
    <w:next w:val="Normal"/>
    <w:link w:val="Heading2Char"/>
    <w:uiPriority w:val="9"/>
    <w:unhideWhenUsed/>
    <w:qFormat/>
    <w:rsid w:val="00FC693F"/>
    <w:pPr>
      <w:keepNext/>
      <w:keepLines/>
      <w:spacing w:before="120" w:after="20" w:line="240" w:lineRule="auto"/>
      <w:outlineLvl w:val="1"/>
    </w:pPr>
    <w:rPr>
      <w:rFonts w:asciiTheme="majorHAnsi" w:eastAsiaTheme="majorEastAsia" w:hAnsiTheme="majorHAnsi" w:cstheme="majorBidi" w:ascii="Arial" w:hAnsi="Arial"/>
      <w:b/>
      <w:bCs/>
      <w:color w:val="1D2433"/>
      <w:sz w:val="20"/>
      <w:szCs w:val="26"/>
    </w:rPr>
  </w:style>
  <w:style w:type="paragraph" w:styleId="Heading3">
    <w:name w:val="heading 3"/>
    <w:basedOn w:val="Normal"/>
    <w:next w:val="Normal"/>
    <w:link w:val="Heading3Char"/>
    <w:uiPriority w:val="9"/>
    <w:unhideWhenUsed/>
    <w:qFormat/>
    <w:rsid w:val="00FC693F"/>
    <w:pPr>
      <w:keepNext/>
      <w:keepLines/>
      <w:spacing w:before="20" w:after="40" w:line="240" w:lineRule="auto"/>
      <w:outlineLvl w:val="2"/>
    </w:pPr>
    <w:rPr>
      <w:rFonts w:asciiTheme="majorHAnsi" w:eastAsiaTheme="majorEastAsia" w:hAnsiTheme="majorHAnsi" w:cstheme="majorBidi" w:ascii="Arial" w:hAnsi="Arial"/>
      <w:b/>
      <w:bCs/>
      <w:color w:val="1D2433"/>
      <w:sz w:val="1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Brewer - Public Resume</dc:title>
  <dc:subject>Lifecycle Marketing and Marketing Technology</dc:subject>
  <dc:creator/>
  <cp:keywords>lifecycle marketing, marketing technology, Braze, measurement, experimentation</cp:keywords>
  <dc:description/>
  <cp:lastModifiedBy/>
  <cp:revision>1</cp:revision>
  <dcterms:created xsi:type="dcterms:W3CDTF">2026-08-09T12:00:00Z</dcterms:created>
  <dcterms:modified xsi:type="dcterms:W3CDTF">2026-08-09T12:00:00Z</dcterms:modified>
  <cp:category/>
</cp:coreProperties>
</file>